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8B0A" w14:textId="0FFF6BFF" w:rsidR="002D2960" w:rsidRPr="0099628E" w:rsidRDefault="002D2960" w:rsidP="002D2960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628E">
        <w:rPr>
          <w:rFonts w:ascii="Times New Roman" w:hAnsi="Times New Roman" w:cs="Times New Roman"/>
          <w:b/>
          <w:sz w:val="30"/>
          <w:szCs w:val="30"/>
        </w:rPr>
        <w:t>Комментарий к Указу Президента Республики Беларусь от 6</w:t>
      </w:r>
      <w:r w:rsidR="003E74B9">
        <w:rPr>
          <w:rFonts w:ascii="Times New Roman" w:hAnsi="Times New Roman" w:cs="Times New Roman"/>
          <w:b/>
          <w:sz w:val="30"/>
          <w:szCs w:val="30"/>
        </w:rPr>
        <w:t xml:space="preserve"> июня </w:t>
      </w:r>
      <w:r w:rsidRPr="0099628E">
        <w:rPr>
          <w:rFonts w:ascii="Times New Roman" w:hAnsi="Times New Roman" w:cs="Times New Roman"/>
          <w:b/>
          <w:sz w:val="30"/>
          <w:szCs w:val="30"/>
        </w:rPr>
        <w:t>2025</w:t>
      </w:r>
      <w:r w:rsidR="003558DB">
        <w:rPr>
          <w:rFonts w:ascii="Times New Roman" w:hAnsi="Times New Roman" w:cs="Times New Roman"/>
          <w:b/>
          <w:sz w:val="30"/>
          <w:szCs w:val="30"/>
        </w:rPr>
        <w:t> </w:t>
      </w:r>
      <w:r w:rsidR="003E74B9">
        <w:rPr>
          <w:rFonts w:ascii="Times New Roman" w:hAnsi="Times New Roman" w:cs="Times New Roman"/>
          <w:b/>
          <w:sz w:val="30"/>
          <w:szCs w:val="30"/>
        </w:rPr>
        <w:t xml:space="preserve">г. </w:t>
      </w:r>
      <w:r w:rsidR="001374D3">
        <w:rPr>
          <w:rFonts w:ascii="Times New Roman" w:hAnsi="Times New Roman" w:cs="Times New Roman"/>
          <w:b/>
          <w:sz w:val="30"/>
          <w:szCs w:val="30"/>
        </w:rPr>
        <w:t>№ </w:t>
      </w:r>
      <w:r w:rsidRPr="0099628E">
        <w:rPr>
          <w:rFonts w:ascii="Times New Roman" w:hAnsi="Times New Roman" w:cs="Times New Roman"/>
          <w:b/>
          <w:sz w:val="30"/>
          <w:szCs w:val="30"/>
        </w:rPr>
        <w:t>226 «О деятель</w:t>
      </w:r>
      <w:r w:rsidR="00B3618B">
        <w:rPr>
          <w:rFonts w:ascii="Times New Roman" w:hAnsi="Times New Roman" w:cs="Times New Roman"/>
          <w:b/>
          <w:sz w:val="30"/>
          <w:szCs w:val="30"/>
        </w:rPr>
        <w:t>ности в сфере игорного бизнеса»</w:t>
      </w:r>
    </w:p>
    <w:p w14:paraId="42EC032E" w14:textId="77777777" w:rsidR="002D2960" w:rsidRPr="0099628E" w:rsidRDefault="002D2960" w:rsidP="001374D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42E1FC" w14:textId="1B7B9B3F" w:rsidR="002D2960" w:rsidRPr="00E8568E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628E">
        <w:rPr>
          <w:rFonts w:ascii="Times New Roman" w:hAnsi="Times New Roman" w:cs="Times New Roman"/>
          <w:sz w:val="30"/>
          <w:szCs w:val="30"/>
        </w:rPr>
        <w:t>Президентом Республики Беларусь 6 июня 202</w:t>
      </w:r>
      <w:r w:rsidR="00E37BFF">
        <w:rPr>
          <w:rFonts w:ascii="Times New Roman" w:hAnsi="Times New Roman" w:cs="Times New Roman"/>
          <w:sz w:val="30"/>
          <w:szCs w:val="30"/>
        </w:rPr>
        <w:t>5</w:t>
      </w:r>
      <w:bookmarkStart w:id="0" w:name="_GoBack"/>
      <w:bookmarkEnd w:id="0"/>
      <w:r w:rsidR="001374D3">
        <w:rPr>
          <w:rFonts w:ascii="Times New Roman" w:hAnsi="Times New Roman" w:cs="Times New Roman"/>
          <w:sz w:val="30"/>
          <w:szCs w:val="30"/>
        </w:rPr>
        <w:t> г.</w:t>
      </w:r>
      <w:r w:rsidRPr="00E8568E">
        <w:rPr>
          <w:rFonts w:ascii="Times New Roman" w:hAnsi="Times New Roman" w:cs="Times New Roman"/>
          <w:sz w:val="30"/>
          <w:szCs w:val="30"/>
        </w:rPr>
        <w:t xml:space="preserve"> издан Указ</w:t>
      </w:r>
      <w:r w:rsidR="00B3618B">
        <w:rPr>
          <w:rFonts w:ascii="Times New Roman" w:hAnsi="Times New Roman" w:cs="Times New Roman"/>
          <w:sz w:val="30"/>
          <w:szCs w:val="30"/>
        </w:rPr>
        <w:t xml:space="preserve"> </w:t>
      </w:r>
      <w:r w:rsidR="001374D3">
        <w:rPr>
          <w:rFonts w:ascii="Times New Roman" w:hAnsi="Times New Roman" w:cs="Times New Roman"/>
          <w:sz w:val="30"/>
          <w:szCs w:val="30"/>
        </w:rPr>
        <w:t>№ </w:t>
      </w:r>
      <w:r>
        <w:rPr>
          <w:rFonts w:ascii="Times New Roman" w:hAnsi="Times New Roman" w:cs="Times New Roman"/>
          <w:sz w:val="30"/>
          <w:szCs w:val="30"/>
        </w:rPr>
        <w:t>226</w:t>
      </w:r>
      <w:r w:rsidRPr="00E8568E">
        <w:rPr>
          <w:rFonts w:ascii="Times New Roman" w:hAnsi="Times New Roman" w:cs="Times New Roman"/>
          <w:sz w:val="30"/>
          <w:szCs w:val="30"/>
        </w:rPr>
        <w:t xml:space="preserve"> «О деятельности в </w:t>
      </w:r>
      <w:r w:rsidR="00B3618B">
        <w:rPr>
          <w:rFonts w:ascii="Times New Roman" w:hAnsi="Times New Roman" w:cs="Times New Roman"/>
          <w:sz w:val="30"/>
          <w:szCs w:val="30"/>
        </w:rPr>
        <w:t>сфере игорного бизнеса» (далее</w:t>
      </w:r>
      <w:r w:rsidR="003558DB">
        <w:rPr>
          <w:rFonts w:ascii="Times New Roman" w:hAnsi="Times New Roman" w:cs="Times New Roman"/>
          <w:sz w:val="30"/>
          <w:szCs w:val="30"/>
        </w:rPr>
        <w:t> —</w:t>
      </w:r>
      <w:r w:rsidRPr="00E8568E">
        <w:rPr>
          <w:rFonts w:ascii="Times New Roman" w:hAnsi="Times New Roman" w:cs="Times New Roman"/>
          <w:sz w:val="30"/>
          <w:szCs w:val="30"/>
        </w:rPr>
        <w:t xml:space="preserve"> Указ), направленный на совершенствование порядка осуществления деятельности в сфере игорного бизнеса, в том числе в глобальной компьютерной сети Интернет.</w:t>
      </w:r>
    </w:p>
    <w:p w14:paraId="67E47E6D" w14:textId="68F0D736" w:rsidR="002D2960" w:rsidRPr="00685C88" w:rsidRDefault="002D2960" w:rsidP="002D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5C88">
        <w:rPr>
          <w:rFonts w:ascii="Times New Roman" w:eastAsia="Calibri" w:hAnsi="Times New Roman" w:cs="Times New Roman"/>
          <w:sz w:val="30"/>
          <w:szCs w:val="30"/>
        </w:rPr>
        <w:t>Указ</w:t>
      </w:r>
      <w:r w:rsidR="005D4ECF" w:rsidRPr="00685C88">
        <w:rPr>
          <w:rFonts w:ascii="Times New Roman" w:eastAsia="Calibri" w:hAnsi="Times New Roman" w:cs="Times New Roman"/>
          <w:sz w:val="30"/>
          <w:szCs w:val="30"/>
        </w:rPr>
        <w:t>ом</w:t>
      </w:r>
      <w:r w:rsidRPr="00685C88">
        <w:rPr>
          <w:rFonts w:ascii="Times New Roman" w:eastAsia="Calibri" w:hAnsi="Times New Roman" w:cs="Times New Roman"/>
          <w:sz w:val="30"/>
          <w:szCs w:val="30"/>
        </w:rPr>
        <w:t xml:space="preserve"> предусм</w:t>
      </w:r>
      <w:r w:rsidR="009D57FE" w:rsidRPr="00685C88">
        <w:rPr>
          <w:rFonts w:ascii="Times New Roman" w:eastAsia="Calibri" w:hAnsi="Times New Roman" w:cs="Times New Roman"/>
          <w:sz w:val="30"/>
          <w:szCs w:val="30"/>
        </w:rPr>
        <w:t>отрены</w:t>
      </w:r>
      <w:r w:rsidRPr="00685C88">
        <w:rPr>
          <w:rFonts w:ascii="Times New Roman" w:eastAsia="Calibri" w:hAnsi="Times New Roman" w:cs="Times New Roman"/>
          <w:sz w:val="30"/>
          <w:szCs w:val="30"/>
        </w:rPr>
        <w:t xml:space="preserve"> меры, направленные на совершенствование условий ведения деятельности в сфере игорного бизнеса, защиту </w:t>
      </w:r>
      <w:r w:rsidR="00D70B13" w:rsidRPr="00685C88">
        <w:rPr>
          <w:rFonts w:ascii="Times New Roman" w:eastAsia="Calibri" w:hAnsi="Times New Roman" w:cs="Times New Roman"/>
          <w:sz w:val="30"/>
          <w:szCs w:val="30"/>
        </w:rPr>
        <w:t xml:space="preserve">интересов </w:t>
      </w:r>
      <w:r w:rsidRPr="00685C88">
        <w:rPr>
          <w:rFonts w:ascii="Times New Roman" w:eastAsia="Calibri" w:hAnsi="Times New Roman" w:cs="Times New Roman"/>
          <w:sz w:val="30"/>
          <w:szCs w:val="30"/>
        </w:rPr>
        <w:t>белорусских организаторов азартных игр и граждан, а именно:</w:t>
      </w:r>
    </w:p>
    <w:p w14:paraId="43D2FB6E" w14:textId="35AD6716" w:rsidR="002D2960" w:rsidRPr="002026EC" w:rsidRDefault="009D57FE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5C88">
        <w:rPr>
          <w:rFonts w:ascii="Times New Roman" w:hAnsi="Times New Roman" w:cs="Times New Roman"/>
          <w:spacing w:val="-4"/>
          <w:sz w:val="30"/>
          <w:szCs w:val="30"/>
        </w:rPr>
        <w:t xml:space="preserve">– </w:t>
      </w:r>
      <w:r w:rsidR="002D2960" w:rsidRPr="00685C88">
        <w:rPr>
          <w:rFonts w:ascii="Times New Roman" w:hAnsi="Times New Roman" w:cs="Times New Roman"/>
          <w:spacing w:val="-4"/>
          <w:sz w:val="30"/>
          <w:szCs w:val="30"/>
        </w:rPr>
        <w:t>предоставляется возможность использования криптовалюты для приема ставок</w:t>
      </w:r>
      <w:r w:rsidR="002D2960" w:rsidRPr="00685C88">
        <w:rPr>
          <w:rFonts w:ascii="Times New Roman" w:hAnsi="Times New Roman" w:cs="Times New Roman"/>
          <w:sz w:val="30"/>
          <w:szCs w:val="30"/>
        </w:rPr>
        <w:t xml:space="preserve"> и выплаты выигрыша при условии </w:t>
      </w:r>
      <w:r w:rsidR="003E74B9">
        <w:rPr>
          <w:rFonts w:ascii="Times New Roman" w:hAnsi="Times New Roman" w:cs="Times New Roman"/>
          <w:sz w:val="30"/>
          <w:szCs w:val="30"/>
        </w:rPr>
        <w:t>совершения</w:t>
      </w:r>
      <w:r w:rsidR="002D2960" w:rsidRPr="00685C88">
        <w:rPr>
          <w:rFonts w:ascii="Times New Roman" w:hAnsi="Times New Roman" w:cs="Times New Roman"/>
          <w:sz w:val="30"/>
          <w:szCs w:val="30"/>
        </w:rPr>
        <w:t xml:space="preserve"> соответствующих операций исключительно </w:t>
      </w:r>
      <w:r w:rsidR="00CE087C" w:rsidRPr="00685C88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2D2960" w:rsidRPr="00685C88">
        <w:rPr>
          <w:rFonts w:ascii="Times New Roman" w:hAnsi="Times New Roman" w:cs="Times New Roman"/>
          <w:sz w:val="30"/>
          <w:szCs w:val="30"/>
        </w:rPr>
        <w:t xml:space="preserve">резидентов Парка высоких технологий, осуществляющих деятельность оператора криптоплатформы или </w:t>
      </w:r>
      <w:r w:rsidR="00CE087C" w:rsidRPr="00685C88">
        <w:rPr>
          <w:rFonts w:ascii="Times New Roman" w:hAnsi="Times New Roman" w:cs="Times New Roman"/>
          <w:sz w:val="30"/>
          <w:szCs w:val="30"/>
        </w:rPr>
        <w:t xml:space="preserve">оператора </w:t>
      </w:r>
      <w:r w:rsidR="002D2960" w:rsidRPr="00685C88">
        <w:rPr>
          <w:rFonts w:ascii="Times New Roman" w:hAnsi="Times New Roman" w:cs="Times New Roman"/>
          <w:sz w:val="30"/>
          <w:szCs w:val="30"/>
        </w:rPr>
        <w:t>обмен</w:t>
      </w:r>
      <w:r w:rsidR="00CE087C" w:rsidRPr="00685C88">
        <w:rPr>
          <w:rFonts w:ascii="Times New Roman" w:hAnsi="Times New Roman" w:cs="Times New Roman"/>
          <w:sz w:val="30"/>
          <w:szCs w:val="30"/>
        </w:rPr>
        <w:t>а</w:t>
      </w:r>
      <w:r w:rsidR="002D2960" w:rsidRPr="00E8568E">
        <w:rPr>
          <w:rFonts w:ascii="Times New Roman" w:hAnsi="Times New Roman" w:cs="Times New Roman"/>
          <w:sz w:val="30"/>
          <w:szCs w:val="30"/>
        </w:rPr>
        <w:t xml:space="preserve"> криптовалют</w:t>
      </w:r>
      <w:r w:rsidR="002D2960">
        <w:rPr>
          <w:rFonts w:ascii="Times New Roman" w:hAnsi="Times New Roman" w:cs="Times New Roman"/>
          <w:sz w:val="30"/>
          <w:szCs w:val="30"/>
        </w:rPr>
        <w:t xml:space="preserve">, что позволит расширить способы </w:t>
      </w:r>
      <w:r w:rsidR="003E74B9">
        <w:rPr>
          <w:rFonts w:ascii="Times New Roman" w:hAnsi="Times New Roman" w:cs="Times New Roman"/>
          <w:sz w:val="30"/>
          <w:szCs w:val="30"/>
        </w:rPr>
        <w:t>оплаты</w:t>
      </w:r>
      <w:r w:rsidR="002D2960">
        <w:rPr>
          <w:rFonts w:ascii="Times New Roman" w:hAnsi="Times New Roman" w:cs="Times New Roman"/>
          <w:sz w:val="30"/>
          <w:szCs w:val="30"/>
        </w:rPr>
        <w:t xml:space="preserve"> в сфере игорного бизнеса</w:t>
      </w:r>
      <w:r w:rsidR="002D2960" w:rsidRPr="002026EC">
        <w:rPr>
          <w:rFonts w:ascii="Times New Roman" w:hAnsi="Times New Roman" w:cs="Times New Roman"/>
          <w:sz w:val="30"/>
          <w:szCs w:val="30"/>
        </w:rPr>
        <w:t>;</w:t>
      </w:r>
    </w:p>
    <w:p w14:paraId="10049104" w14:textId="6D21380B" w:rsidR="002D2960" w:rsidRPr="002026EC" w:rsidRDefault="00216674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>в целях исключения излишнего регулирования деятельности организаторов азартных игр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>отменяется согласование правил организации и проведения азартных игр Министерством по налогам и сборам.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 xml:space="preserve">Одновременно 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>для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 xml:space="preserve"> обеспечения контроля вводится обязанность для организаторов азартных игр размещать утвержденные им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 xml:space="preserve"> правила организации и проведения азартных игр в специальной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 xml:space="preserve"> компьютерной кассовой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 xml:space="preserve"> системе, обеспечивающей контроль за оборотами в сфере игорного бизнеса (СККС)</w:t>
      </w:r>
      <w:r w:rsidR="002D2960" w:rsidRPr="002026EC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1A3C0911" w14:textId="1DBC14E0" w:rsidR="002D2960" w:rsidRPr="002026EC" w:rsidRDefault="008E37E6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>закладывается правовая основа для с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>овершенствования механизма ведения Государственного реестра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>моделей игровых автоматов, допущенных к использованию в Республике Беларусь (далее</w:t>
      </w:r>
      <w:r w:rsidR="003558DB">
        <w:rPr>
          <w:rFonts w:ascii="Times New Roman" w:hAnsi="Times New Roman" w:cs="Times New Roman"/>
          <w:sz w:val="30"/>
          <w:szCs w:val="30"/>
        </w:rPr>
        <w:t> —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Государственный реестр)</w:t>
      </w:r>
      <w:r w:rsidR="002D296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2D2960" w:rsidRPr="006A46D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2960" w:rsidRPr="00E8568E">
        <w:rPr>
          <w:rFonts w:ascii="Times New Roman" w:hAnsi="Times New Roman" w:cs="Times New Roman"/>
          <w:color w:val="000000"/>
          <w:sz w:val="30"/>
          <w:szCs w:val="30"/>
        </w:rPr>
        <w:t>что позволит эксплуатировать игровые автоматы более 10 лет</w:t>
      </w:r>
      <w:r w:rsidR="002D2960" w:rsidRPr="002026EC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C349703" w14:textId="7B00076A" w:rsidR="002D2960" w:rsidRDefault="00E021F9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2D2960" w:rsidRPr="002026EC">
        <w:rPr>
          <w:rFonts w:ascii="Times New Roman" w:hAnsi="Times New Roman" w:cs="Times New Roman"/>
          <w:color w:val="000000"/>
          <w:sz w:val="30"/>
          <w:szCs w:val="30"/>
        </w:rPr>
        <w:t xml:space="preserve">устанавливается запрет для банков </w:t>
      </w:r>
      <w:r w:rsidR="002D2960" w:rsidRPr="002026EC">
        <w:rPr>
          <w:rFonts w:ascii="Times New Roman" w:hAnsi="Times New Roman" w:cs="Times New Roman"/>
          <w:color w:val="000000"/>
          <w:spacing w:val="-8"/>
          <w:sz w:val="30"/>
          <w:szCs w:val="30"/>
        </w:rPr>
        <w:t>осуществлять перевод платежей физических</w:t>
      </w:r>
      <w:r w:rsidR="002D2960" w:rsidRPr="002026EC">
        <w:rPr>
          <w:rFonts w:ascii="Times New Roman" w:hAnsi="Times New Roman" w:cs="Times New Roman"/>
          <w:color w:val="000000"/>
          <w:sz w:val="30"/>
          <w:szCs w:val="30"/>
        </w:rPr>
        <w:t xml:space="preserve"> лиц в пользу иностранных организаторов азартных игр, что позволит сократить </w:t>
      </w:r>
      <w:r w:rsidR="002D2960" w:rsidRPr="002026EC">
        <w:rPr>
          <w:rFonts w:ascii="Times New Roman" w:hAnsi="Times New Roman" w:cs="Times New Roman"/>
          <w:iCs/>
          <w:sz w:val="30"/>
          <w:szCs w:val="30"/>
        </w:rPr>
        <w:t>отток денежных средств из страны для участия в онлайн</w:t>
      </w:r>
      <w:r w:rsidR="003558DB">
        <w:rPr>
          <w:rFonts w:ascii="Times New Roman" w:hAnsi="Times New Roman" w:cs="Times New Roman"/>
          <w:iCs/>
          <w:sz w:val="30"/>
          <w:szCs w:val="30"/>
        </w:rPr>
        <w:t> —</w:t>
      </w:r>
      <w:r w:rsidR="00BC1E8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2D2960" w:rsidRPr="002026EC">
        <w:rPr>
          <w:rFonts w:ascii="Times New Roman" w:hAnsi="Times New Roman" w:cs="Times New Roman"/>
          <w:iCs/>
          <w:sz w:val="30"/>
          <w:szCs w:val="30"/>
        </w:rPr>
        <w:t xml:space="preserve">азартных играх на </w:t>
      </w:r>
      <w:r w:rsidR="002D2960">
        <w:rPr>
          <w:rFonts w:ascii="Times New Roman" w:hAnsi="Times New Roman" w:cs="Times New Roman"/>
          <w:iCs/>
          <w:sz w:val="30"/>
          <w:szCs w:val="30"/>
        </w:rPr>
        <w:t>зарубежных</w:t>
      </w:r>
      <w:r w:rsidR="002D2960" w:rsidRPr="002026EC">
        <w:rPr>
          <w:rFonts w:ascii="Times New Roman" w:hAnsi="Times New Roman" w:cs="Times New Roman"/>
          <w:iCs/>
          <w:sz w:val="30"/>
          <w:szCs w:val="30"/>
        </w:rPr>
        <w:t xml:space="preserve"> интернет-площадках.</w:t>
      </w:r>
      <w:r w:rsidR="002D2960">
        <w:rPr>
          <w:rFonts w:ascii="Times New Roman" w:hAnsi="Times New Roman" w:cs="Times New Roman"/>
          <w:iCs/>
          <w:sz w:val="30"/>
          <w:szCs w:val="30"/>
        </w:rPr>
        <w:t xml:space="preserve"> В свою очередь, спрос граждан на участие в азартных играх будет удовлетворен посредством развитой </w:t>
      </w:r>
      <w:r w:rsidR="00764631">
        <w:rPr>
          <w:rFonts w:ascii="Times New Roman" w:hAnsi="Times New Roman" w:cs="Times New Roman"/>
          <w:iCs/>
          <w:sz w:val="30"/>
          <w:szCs w:val="30"/>
        </w:rPr>
        <w:t>онлайн</w:t>
      </w:r>
      <w:r w:rsidR="003558DB">
        <w:rPr>
          <w:rFonts w:ascii="Times New Roman" w:hAnsi="Times New Roman" w:cs="Times New Roman"/>
          <w:iCs/>
          <w:sz w:val="30"/>
          <w:szCs w:val="30"/>
        </w:rPr>
        <w:t> —</w:t>
      </w:r>
      <w:r w:rsidR="00BC1E8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2D2960">
        <w:rPr>
          <w:rFonts w:ascii="Times New Roman" w:hAnsi="Times New Roman" w:cs="Times New Roman"/>
          <w:iCs/>
          <w:sz w:val="30"/>
          <w:szCs w:val="30"/>
        </w:rPr>
        <w:t>игорной индустрии, созданной в Республике Беларусь</w:t>
      </w:r>
      <w:r w:rsidR="002D2960" w:rsidRPr="002D2960">
        <w:rPr>
          <w:rFonts w:ascii="Times New Roman" w:hAnsi="Times New Roman" w:cs="Times New Roman"/>
          <w:iCs/>
          <w:sz w:val="30"/>
          <w:szCs w:val="30"/>
        </w:rPr>
        <w:t>;</w:t>
      </w:r>
    </w:p>
    <w:p w14:paraId="1CB9E289" w14:textId="38557DF8" w:rsidR="002D2960" w:rsidRPr="00DD6684" w:rsidRDefault="00E021F9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– </w:t>
      </w:r>
      <w:r w:rsidR="002D2960" w:rsidRPr="00DD6684">
        <w:rPr>
          <w:rFonts w:ascii="Times New Roman" w:hAnsi="Times New Roman" w:cs="Times New Roman"/>
          <w:spacing w:val="-4"/>
          <w:sz w:val="30"/>
          <w:szCs w:val="30"/>
        </w:rPr>
        <w:t>вводится учет</w:t>
      </w:r>
      <w:r w:rsidR="002D2960" w:rsidRPr="00DD6684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="002D2960" w:rsidRPr="00DD6684">
        <w:rPr>
          <w:rFonts w:ascii="Times New Roman" w:hAnsi="Times New Roman" w:cs="Times New Roman"/>
          <w:sz w:val="30"/>
          <w:szCs w:val="30"/>
        </w:rPr>
        <w:t xml:space="preserve">денежных средств, вносимых каждым участником азартной игры в казино, залах игровых автоматов, тотализаторах, </w:t>
      </w:r>
      <w:r w:rsidR="002D2960" w:rsidRPr="00DD6684">
        <w:rPr>
          <w:rFonts w:ascii="Times New Roman" w:hAnsi="Times New Roman" w:cs="Times New Roman"/>
          <w:sz w:val="30"/>
          <w:szCs w:val="30"/>
        </w:rPr>
        <w:lastRenderedPageBreak/>
        <w:t>букмекерских конторах</w:t>
      </w:r>
      <w:r w:rsidR="002D2960">
        <w:rPr>
          <w:rFonts w:ascii="Times New Roman" w:hAnsi="Times New Roman" w:cs="Times New Roman"/>
          <w:sz w:val="30"/>
          <w:szCs w:val="30"/>
        </w:rPr>
        <w:t>. Такой учет</w:t>
      </w:r>
      <w:r w:rsidR="002D2960" w:rsidRPr="00DD6684">
        <w:rPr>
          <w:rFonts w:ascii="Times New Roman" w:hAnsi="Times New Roman" w:cs="Times New Roman"/>
          <w:sz w:val="30"/>
          <w:szCs w:val="30"/>
        </w:rPr>
        <w:t xml:space="preserve"> будет обеспечиваться организаторами азартных игр</w:t>
      </w:r>
      <w:r w:rsidR="002D2960">
        <w:rPr>
          <w:rFonts w:ascii="Times New Roman" w:hAnsi="Times New Roman" w:cs="Times New Roman"/>
          <w:sz w:val="30"/>
          <w:szCs w:val="30"/>
        </w:rPr>
        <w:t xml:space="preserve"> в СККС</w:t>
      </w:r>
      <w:r w:rsidR="002D2960" w:rsidRPr="00DD6684">
        <w:rPr>
          <w:rFonts w:ascii="Times New Roman" w:hAnsi="Times New Roman" w:cs="Times New Roman"/>
          <w:sz w:val="30"/>
          <w:szCs w:val="30"/>
        </w:rPr>
        <w:t xml:space="preserve"> при предъявлении игроками документов, удостоверяющих личность в кассе игорных заведений.</w:t>
      </w:r>
    </w:p>
    <w:p w14:paraId="4DABDB00" w14:textId="04E256BE" w:rsidR="002D2960" w:rsidRDefault="00E021F9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2D2960">
        <w:rPr>
          <w:rFonts w:ascii="Times New Roman" w:hAnsi="Times New Roman" w:cs="Times New Roman"/>
          <w:sz w:val="30"/>
          <w:szCs w:val="30"/>
        </w:rPr>
        <w:t>увеличивается с 30 до 60 суток срок хранения записей систем видеонаблюдения в игорных заведениях, а также устанавливается запрет для посетителей вести кино-, фото- и видеосъемку в игорном заведении.</w:t>
      </w:r>
    </w:p>
    <w:p w14:paraId="58920CA7" w14:textId="3C231A63" w:rsidR="002D2960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2026EC">
        <w:rPr>
          <w:rFonts w:ascii="Times New Roman" w:hAnsi="Times New Roman" w:cs="Times New Roman"/>
          <w:sz w:val="30"/>
          <w:szCs w:val="30"/>
        </w:rPr>
        <w:t xml:space="preserve">ля выстраивания в игорных заведениях и виртуальных игорных заведениях эффективной системы внутреннего контроля, </w:t>
      </w:r>
      <w:r>
        <w:rPr>
          <w:rFonts w:ascii="Times New Roman" w:hAnsi="Times New Roman" w:cs="Times New Roman"/>
          <w:sz w:val="30"/>
          <w:szCs w:val="30"/>
        </w:rPr>
        <w:t>предотвращающей вовлечение</w:t>
      </w:r>
      <w:r w:rsidRPr="002026EC">
        <w:rPr>
          <w:rFonts w:ascii="Times New Roman" w:hAnsi="Times New Roman" w:cs="Times New Roman"/>
          <w:sz w:val="30"/>
          <w:szCs w:val="30"/>
        </w:rPr>
        <w:t xml:space="preserve"> организатор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2026EC">
        <w:rPr>
          <w:rFonts w:ascii="Times New Roman" w:hAnsi="Times New Roman" w:cs="Times New Roman"/>
          <w:sz w:val="30"/>
          <w:szCs w:val="30"/>
        </w:rPr>
        <w:t xml:space="preserve"> азартных игр</w:t>
      </w:r>
      <w:r>
        <w:rPr>
          <w:rFonts w:ascii="Times New Roman" w:hAnsi="Times New Roman" w:cs="Times New Roman"/>
          <w:sz w:val="30"/>
          <w:szCs w:val="30"/>
        </w:rPr>
        <w:t xml:space="preserve"> и граждан</w:t>
      </w:r>
      <w:r w:rsidRPr="002026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схемы</w:t>
      </w:r>
      <w:r w:rsidRPr="002026EC">
        <w:rPr>
          <w:rFonts w:ascii="Times New Roman" w:hAnsi="Times New Roman" w:cs="Times New Roman"/>
          <w:sz w:val="30"/>
          <w:szCs w:val="30"/>
        </w:rPr>
        <w:t xml:space="preserve">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26EC">
        <w:rPr>
          <w:rFonts w:ascii="Times New Roman" w:hAnsi="Times New Roman" w:cs="Times New Roman"/>
          <w:sz w:val="30"/>
          <w:szCs w:val="30"/>
        </w:rPr>
        <w:t>Указом</w:t>
      </w:r>
      <w:r w:rsidRPr="00634690">
        <w:rPr>
          <w:rFonts w:ascii="Times New Roman" w:hAnsi="Times New Roman" w:cs="Times New Roman"/>
          <w:sz w:val="30"/>
          <w:szCs w:val="30"/>
        </w:rPr>
        <w:t>:</w:t>
      </w:r>
    </w:p>
    <w:p w14:paraId="75FC5634" w14:textId="77777777" w:rsidR="002D2960" w:rsidRPr="002026EC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Pr="002026EC">
        <w:rPr>
          <w:rFonts w:ascii="Times New Roman" w:hAnsi="Times New Roman" w:cs="Times New Roman"/>
          <w:sz w:val="30"/>
          <w:szCs w:val="30"/>
        </w:rPr>
        <w:t>предусмотрен ряд запретов для посетителей игорных заведений и виртуальных игорных заведений, а именно:</w:t>
      </w:r>
    </w:p>
    <w:p w14:paraId="6C840C8A" w14:textId="09795275" w:rsidR="002D2960" w:rsidRPr="006A46DB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предъявлять при посещении игорного заведения,</w:t>
      </w:r>
      <w:r w:rsidR="002D2960" w:rsidRPr="002026EC">
        <w:rPr>
          <w:rFonts w:ascii="Times New Roman" w:hAnsi="Times New Roman" w:cs="Times New Roman"/>
          <w:sz w:val="30"/>
          <w:szCs w:val="30"/>
        </w:rPr>
        <w:t xml:space="preserve"> регистрации в качестве участника азартной игры, последующем доступе к виртуальному игорному заведению,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получении выигрыша, возврате несыгравших ставок не принадлежащие им </w:t>
      </w:r>
      <w:r w:rsidRPr="00BC1E8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персональные и</w:t>
      </w:r>
      <w:r w:rsidR="00CD7AC6" w:rsidRPr="00BC1E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C1E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данные, </w:t>
      </w:r>
      <w:r w:rsidRPr="00F56FA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удостоверяющие личность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0E1E985" w14:textId="68B0BAED" w:rsidR="002D2960" w:rsidRPr="006A46DB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при совершении ставок, получении выигрыша, возврате несыгравших ставок не принадлежащие им банковские платежные карточки, электронные кошельки;</w:t>
      </w:r>
    </w:p>
    <w:p w14:paraId="15C84FA3" w14:textId="1CFD8C58" w:rsidR="002D2960" w:rsidRPr="006A46DB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совершать ставки за счет денежных средств, перечисленных со счетов, открытых в банках, небанковских кредитно-финансовых организациях, иностранных банках другим лицам;</w:t>
      </w:r>
    </w:p>
    <w:p w14:paraId="40A3DC28" w14:textId="3336039F" w:rsidR="002D2960" w:rsidRPr="006A46DB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указывать в заявлении о выплате выигрыша, возврате несыгравших ставок счета, открытые в банках, небанковских кредитно-финансовых организациях, иностранных банках другим лицам;</w:t>
      </w:r>
    </w:p>
    <w:p w14:paraId="6941D05B" w14:textId="3990B2F7" w:rsidR="002D2960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 w:rsidRPr="006A46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принимать участие в азартной игре в соответствии с указаниями третьих лиц</w:t>
      </w:r>
      <w:r w:rsidR="002D2960" w:rsidRPr="003F465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CE32D7E" w14:textId="3752FADE" w:rsidR="002D2960" w:rsidRPr="003F4651" w:rsidRDefault="00F56FAB" w:rsidP="002D2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2D2960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иметь более одного игрового аккаунта.</w:t>
      </w:r>
    </w:p>
    <w:p w14:paraId="52550CF8" w14:textId="0F473EFF" w:rsidR="002D2960" w:rsidRPr="00F16692" w:rsidRDefault="002D2960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Организаторам азартных игр предоставляется право проверять действительность документа, удостоверяющего личность, а также принадлежность игроку платежного инструмента (электронные кошельки, банковски</w:t>
      </w:r>
      <w:r w:rsidR="00BC1E8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платежные карточки, счета) в порядке, определенном правилами внутреннего контроля</w:t>
      </w:r>
      <w:r w:rsidRPr="00F16692">
        <w:rPr>
          <w:rFonts w:ascii="Times New Roman" w:hAnsi="Times New Roman" w:cs="Times New Roman"/>
          <w:sz w:val="30"/>
          <w:szCs w:val="30"/>
        </w:rPr>
        <w:t>;</w:t>
      </w:r>
    </w:p>
    <w:p w14:paraId="23DF69E6" w14:textId="0C3B71A4" w:rsidR="002D2960" w:rsidRPr="002D2960" w:rsidRDefault="002D2960" w:rsidP="002D29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2) с учетом международных тенденций развития сферы онлайн</w:t>
      </w:r>
      <w:r w:rsidR="003558DB">
        <w:rPr>
          <w:rFonts w:ascii="Times New Roman" w:hAnsi="Times New Roman" w:cs="Times New Roman"/>
          <w:color w:val="000000"/>
          <w:sz w:val="30"/>
          <w:szCs w:val="30"/>
        </w:rPr>
        <w:t> —</w:t>
      </w:r>
      <w:r w:rsidR="0057140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игорного бизнеса и его дальнейшего цивилизованного развития </w:t>
      </w:r>
      <w:r w:rsidRPr="002026EC">
        <w:rPr>
          <w:rFonts w:ascii="Times New Roman" w:hAnsi="Times New Roman" w:cs="Times New Roman"/>
          <w:spacing w:val="-12"/>
          <w:sz w:val="30"/>
          <w:szCs w:val="30"/>
        </w:rPr>
        <w:t>совершенствуются механизмы идентификации, верификации, аутентификации участников онлайн</w:t>
      </w:r>
      <w:r w:rsidR="003558DB">
        <w:rPr>
          <w:rFonts w:ascii="Times New Roman" w:hAnsi="Times New Roman" w:cs="Times New Roman"/>
          <w:sz w:val="30"/>
          <w:szCs w:val="30"/>
        </w:rPr>
        <w:t> —</w:t>
      </w:r>
      <w:r w:rsidR="0057140C">
        <w:rPr>
          <w:rFonts w:ascii="Times New Roman" w:hAnsi="Times New Roman" w:cs="Times New Roman"/>
          <w:sz w:val="30"/>
          <w:szCs w:val="30"/>
        </w:rPr>
        <w:t xml:space="preserve"> </w:t>
      </w:r>
      <w:r w:rsidRPr="002026EC">
        <w:rPr>
          <w:rFonts w:ascii="Times New Roman" w:hAnsi="Times New Roman" w:cs="Times New Roman"/>
          <w:spacing w:val="-8"/>
          <w:sz w:val="30"/>
          <w:szCs w:val="30"/>
        </w:rPr>
        <w:t xml:space="preserve">азартных игр. В частности, </w:t>
      </w:r>
      <w:r>
        <w:rPr>
          <w:rFonts w:ascii="Times New Roman" w:hAnsi="Times New Roman" w:cs="Times New Roman"/>
          <w:spacing w:val="-8"/>
          <w:sz w:val="30"/>
          <w:szCs w:val="30"/>
        </w:rPr>
        <w:t>предусмотрено</w:t>
      </w:r>
      <w:r w:rsidRPr="002026EC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2026EC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проведение с игроком видеосеанса посредством </w:t>
      </w:r>
      <w:r w:rsidRPr="002026EC">
        <w:rPr>
          <w:rFonts w:ascii="Times New Roman" w:hAnsi="Times New Roman" w:cs="Times New Roman"/>
          <w:iCs/>
          <w:sz w:val="30"/>
          <w:szCs w:val="30"/>
        </w:rPr>
        <w:t>сети Интернет</w:t>
      </w:r>
      <w:r w:rsidR="0057140C" w:rsidRPr="0057140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026EC">
        <w:rPr>
          <w:rFonts w:ascii="Times New Roman" w:hAnsi="Times New Roman" w:cs="Times New Roman"/>
          <w:iCs/>
          <w:sz w:val="30"/>
          <w:szCs w:val="30"/>
        </w:rPr>
        <w:t>или посещени</w:t>
      </w:r>
      <w:r>
        <w:rPr>
          <w:rFonts w:ascii="Times New Roman" w:hAnsi="Times New Roman" w:cs="Times New Roman"/>
          <w:iCs/>
          <w:sz w:val="30"/>
          <w:szCs w:val="30"/>
        </w:rPr>
        <w:t>е</w:t>
      </w:r>
      <w:r w:rsidRPr="002026EC">
        <w:rPr>
          <w:rFonts w:ascii="Times New Roman" w:hAnsi="Times New Roman" w:cs="Times New Roman"/>
          <w:iCs/>
          <w:sz w:val="30"/>
          <w:szCs w:val="30"/>
        </w:rPr>
        <w:t xml:space="preserve"> игроком </w:t>
      </w:r>
      <w:r w:rsidRPr="002026EC">
        <w:rPr>
          <w:rFonts w:ascii="Times New Roman" w:hAnsi="Times New Roman" w:cs="Times New Roman"/>
          <w:iCs/>
          <w:sz w:val="30"/>
          <w:szCs w:val="30"/>
        </w:rPr>
        <w:lastRenderedPageBreak/>
        <w:t>игорного заведения, многофакторной аутентификации, получение фотоизображения игрока в момент его участия в онлайн</w:t>
      </w:r>
      <w:r w:rsidR="003558DB">
        <w:rPr>
          <w:rFonts w:ascii="Times New Roman" w:hAnsi="Times New Roman" w:cs="Times New Roman"/>
          <w:iCs/>
          <w:sz w:val="30"/>
          <w:szCs w:val="30"/>
        </w:rPr>
        <w:t> —</w:t>
      </w:r>
      <w:r w:rsidR="0057140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026EC">
        <w:rPr>
          <w:rFonts w:ascii="Times New Roman" w:hAnsi="Times New Roman" w:cs="Times New Roman"/>
          <w:iCs/>
          <w:sz w:val="30"/>
          <w:szCs w:val="30"/>
        </w:rPr>
        <w:t>азартной игре</w:t>
      </w:r>
      <w:r w:rsidR="00044026">
        <w:rPr>
          <w:rFonts w:ascii="Times New Roman" w:hAnsi="Times New Roman" w:cs="Times New Roman"/>
          <w:iCs/>
          <w:sz w:val="30"/>
          <w:szCs w:val="30"/>
        </w:rPr>
        <w:t>.</w:t>
      </w:r>
    </w:p>
    <w:p w14:paraId="183AADF9" w14:textId="0E5D0BE7" w:rsidR="002D2960" w:rsidRPr="00073ECF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Указом предусмотрено совершенствование порядка подтверждения соответствия виртуального игорного заведения требованиям, определенным Советом Министров Республики Беларусь. Так, </w:t>
      </w:r>
      <w:r w:rsidRPr="00073ECF">
        <w:rPr>
          <w:rFonts w:ascii="Times New Roman" w:hAnsi="Times New Roman" w:cs="Times New Roman"/>
          <w:sz w:val="30"/>
          <w:szCs w:val="30"/>
        </w:rPr>
        <w:t xml:space="preserve">испытания </w:t>
      </w:r>
      <w:r>
        <w:rPr>
          <w:rFonts w:ascii="Times New Roman" w:hAnsi="Times New Roman" w:cs="Times New Roman"/>
          <w:sz w:val="30"/>
          <w:szCs w:val="30"/>
        </w:rPr>
        <w:t>виртуального игорного заведения</w:t>
      </w:r>
      <w:r w:rsidRPr="00073ECF">
        <w:rPr>
          <w:rFonts w:ascii="Times New Roman" w:hAnsi="Times New Roman" w:cs="Times New Roman"/>
          <w:sz w:val="30"/>
          <w:szCs w:val="30"/>
        </w:rPr>
        <w:t xml:space="preserve"> на соответствие</w:t>
      </w:r>
      <w:r>
        <w:rPr>
          <w:rFonts w:ascii="Times New Roman" w:hAnsi="Times New Roman" w:cs="Times New Roman"/>
          <w:sz w:val="30"/>
          <w:szCs w:val="30"/>
        </w:rPr>
        <w:t xml:space="preserve"> таким</w:t>
      </w:r>
      <w:r w:rsidRPr="00073ECF">
        <w:rPr>
          <w:rFonts w:ascii="Times New Roman" w:hAnsi="Times New Roman" w:cs="Times New Roman"/>
          <w:sz w:val="30"/>
          <w:szCs w:val="30"/>
        </w:rPr>
        <w:t xml:space="preserve"> требованиям будут проводиться </w:t>
      </w:r>
      <w:r>
        <w:rPr>
          <w:rFonts w:ascii="Times New Roman" w:hAnsi="Times New Roman" w:cs="Times New Roman"/>
          <w:sz w:val="30"/>
          <w:szCs w:val="30"/>
        </w:rPr>
        <w:t>ООО «Мониторинговый центр по игорному бизнесу»</w:t>
      </w:r>
      <w:r w:rsidRPr="00073ECF">
        <w:rPr>
          <w:rFonts w:ascii="Times New Roman" w:hAnsi="Times New Roman" w:cs="Times New Roman"/>
          <w:sz w:val="30"/>
          <w:szCs w:val="30"/>
        </w:rPr>
        <w:t xml:space="preserve"> с возможностью привлечения на договорной основе экспертов </w:t>
      </w:r>
      <w:r w:rsidR="001374D3">
        <w:rPr>
          <w:rFonts w:ascii="Times New Roman" w:hAnsi="Times New Roman" w:cs="Times New Roman"/>
          <w:sz w:val="30"/>
          <w:szCs w:val="30"/>
        </w:rPr>
        <w:t>и (или)</w:t>
      </w:r>
      <w:r w:rsidRPr="00073ECF">
        <w:rPr>
          <w:rFonts w:ascii="Times New Roman" w:hAnsi="Times New Roman" w:cs="Times New Roman"/>
          <w:sz w:val="30"/>
          <w:szCs w:val="30"/>
        </w:rPr>
        <w:t xml:space="preserve"> специалистов, обладающих специальными знаниями, необходимыми для профессиональной оценки технической составляющей </w:t>
      </w:r>
      <w:r>
        <w:rPr>
          <w:rFonts w:ascii="Times New Roman" w:hAnsi="Times New Roman" w:cs="Times New Roman"/>
          <w:sz w:val="30"/>
          <w:szCs w:val="30"/>
        </w:rPr>
        <w:t>виртуального игорного заведения</w:t>
      </w:r>
      <w:r w:rsidRPr="00073ECF">
        <w:rPr>
          <w:rFonts w:ascii="Times New Roman" w:hAnsi="Times New Roman" w:cs="Times New Roman"/>
          <w:sz w:val="30"/>
          <w:szCs w:val="30"/>
        </w:rPr>
        <w:t>.</w:t>
      </w:r>
    </w:p>
    <w:p w14:paraId="7F44EDF2" w14:textId="060532C8" w:rsidR="00642041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ECF">
        <w:rPr>
          <w:rFonts w:ascii="Times New Roman" w:hAnsi="Times New Roman" w:cs="Times New Roman"/>
          <w:sz w:val="30"/>
          <w:szCs w:val="30"/>
        </w:rPr>
        <w:t xml:space="preserve">Поскольку для практической реализации вышеуказанных норм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073ECF">
        <w:rPr>
          <w:rFonts w:ascii="Times New Roman" w:hAnsi="Times New Roman" w:cs="Times New Roman"/>
          <w:sz w:val="30"/>
          <w:szCs w:val="30"/>
        </w:rPr>
        <w:t xml:space="preserve">каза потребуется время, необходимое для доработки организаторами азартных игр платформ </w:t>
      </w:r>
      <w:r>
        <w:rPr>
          <w:rFonts w:ascii="Times New Roman" w:hAnsi="Times New Roman" w:cs="Times New Roman"/>
          <w:sz w:val="30"/>
          <w:szCs w:val="30"/>
        </w:rPr>
        <w:t>виртуальных игорных заведений</w:t>
      </w:r>
      <w:r w:rsidRPr="00073ECF">
        <w:rPr>
          <w:rFonts w:ascii="Times New Roman" w:hAnsi="Times New Roman" w:cs="Times New Roman"/>
          <w:sz w:val="30"/>
          <w:szCs w:val="30"/>
        </w:rPr>
        <w:t xml:space="preserve">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073ECF">
        <w:rPr>
          <w:rFonts w:ascii="Times New Roman" w:hAnsi="Times New Roman" w:cs="Times New Roman"/>
          <w:sz w:val="30"/>
          <w:szCs w:val="30"/>
        </w:rPr>
        <w:t xml:space="preserve">испытаний, </w:t>
      </w:r>
      <w:r w:rsidRPr="0099628E">
        <w:rPr>
          <w:rFonts w:ascii="Times New Roman" w:hAnsi="Times New Roman" w:cs="Times New Roman"/>
          <w:sz w:val="30"/>
          <w:szCs w:val="30"/>
        </w:rPr>
        <w:t>пунктом 3 Указа предусмотрен переходный период до 1 июля 2027</w:t>
      </w:r>
      <w:r w:rsidR="003558D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 </w:t>
      </w:r>
      <w:r w:rsidRPr="0099628E">
        <w:rPr>
          <w:rFonts w:ascii="Times New Roman" w:hAnsi="Times New Roman" w:cs="Times New Roman"/>
          <w:sz w:val="30"/>
          <w:szCs w:val="30"/>
        </w:rPr>
        <w:t>г.</w:t>
      </w:r>
    </w:p>
    <w:p w14:paraId="1E30EBB2" w14:textId="02B53195" w:rsidR="002D2960" w:rsidRPr="00073ECF" w:rsidRDefault="002D2960" w:rsidP="002D2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99628E">
        <w:rPr>
          <w:rFonts w:ascii="Times New Roman" w:hAnsi="Times New Roman" w:cs="Times New Roman"/>
          <w:sz w:val="30"/>
          <w:szCs w:val="30"/>
        </w:rPr>
        <w:t xml:space="preserve">Так, 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при </w:t>
      </w:r>
      <w:r w:rsidRPr="0099628E">
        <w:rPr>
          <w:rFonts w:ascii="Times New Roman" w:hAnsi="Times New Roman"/>
          <w:sz w:val="30"/>
          <w:szCs w:val="30"/>
          <w:lang w:eastAsia="ru-RU"/>
        </w:rPr>
        <w:t xml:space="preserve">доработке </w:t>
      </w:r>
      <w:r>
        <w:rPr>
          <w:rFonts w:ascii="Times New Roman" w:hAnsi="Times New Roman"/>
          <w:sz w:val="30"/>
          <w:szCs w:val="30"/>
          <w:lang w:eastAsia="ru-RU"/>
        </w:rPr>
        <w:t>виртуального игорного заведения</w:t>
      </w:r>
      <w:r w:rsidRPr="0099628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в целях осуществления деятельности в сфере игорного бизнеса по содержанию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виртуального игорного заведения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требованиями Указа наличие протокола испытаний о соответствии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виртуального игорного заведения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 требованиям, определенным Советом Министров Республики Беларусь, будет обеспечиваться юридическими лицами Республики Беларусь, осуществляющими деятельность по содержанию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виртуального игорного заведения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, с 1 </w:t>
      </w:r>
      <w:r w:rsidRPr="0099628E">
        <w:rPr>
          <w:rFonts w:ascii="Times New Roman" w:hAnsi="Times New Roman" w:cs="Times New Roman"/>
          <w:sz w:val="30"/>
          <w:szCs w:val="30"/>
        </w:rPr>
        <w:t>июля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 2027</w:t>
      </w:r>
      <w:r w:rsidR="003558D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 </w:t>
      </w:r>
      <w:r w:rsidRPr="0099628E">
        <w:rPr>
          <w:rFonts w:ascii="Times New Roman" w:eastAsia="Times New Roman" w:hAnsi="Times New Roman"/>
          <w:sz w:val="30"/>
          <w:szCs w:val="30"/>
          <w:lang w:eastAsia="ru-RU"/>
        </w:rPr>
        <w:t xml:space="preserve">г. 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При отсутствии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такого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протокола испытаний после 1 </w:t>
      </w:r>
      <w:r w:rsidRPr="0099628E">
        <w:rPr>
          <w:rFonts w:ascii="Times New Roman" w:hAnsi="Times New Roman" w:cs="Times New Roman"/>
          <w:sz w:val="30"/>
          <w:szCs w:val="30"/>
        </w:rPr>
        <w:t>июля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2027</w:t>
      </w:r>
      <w:r w:rsidR="001374D3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 </w:t>
      </w:r>
      <w:r w:rsidR="001374D3" w:rsidRPr="0057140C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г.</w:t>
      </w:r>
      <w:r w:rsidRPr="0057140C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осуществление указанной деятельности будет являться незаконным и запрещаться (абз</w:t>
      </w:r>
      <w:r w:rsidR="0064204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.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</w:t>
      </w:r>
      <w:r w:rsidR="00642041" w:rsidRPr="0057140C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2</w:t>
      </w:r>
      <w:r w:rsidR="0064204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</w:t>
      </w:r>
      <w:r w:rsidR="0064204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.</w:t>
      </w:r>
      <w:r w:rsidRPr="0099628E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4 Указа).</w:t>
      </w:r>
    </w:p>
    <w:p w14:paraId="159CCFF1" w14:textId="6FC8BA6C" w:rsidR="00513FC6" w:rsidRDefault="002D2960" w:rsidP="002D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CD">
        <w:rPr>
          <w:rFonts w:ascii="Times New Roman" w:hAnsi="Times New Roman" w:cs="Times New Roman"/>
          <w:sz w:val="30"/>
          <w:szCs w:val="30"/>
        </w:rPr>
        <w:t xml:space="preserve">Основные положения Указа вступят в силу через 9 месяцев после официального опубликования Указа </w:t>
      </w:r>
      <w:r w:rsidRPr="0099628E">
        <w:rPr>
          <w:rFonts w:ascii="Times New Roman" w:hAnsi="Times New Roman" w:cs="Times New Roman"/>
          <w:sz w:val="30"/>
          <w:szCs w:val="30"/>
        </w:rPr>
        <w:t>(с 1</w:t>
      </w:r>
      <w:r>
        <w:rPr>
          <w:rFonts w:ascii="Times New Roman" w:hAnsi="Times New Roman" w:cs="Times New Roman"/>
          <w:sz w:val="30"/>
          <w:szCs w:val="30"/>
        </w:rPr>
        <w:t>1</w:t>
      </w:r>
      <w:r w:rsidR="0057140C">
        <w:rPr>
          <w:rFonts w:ascii="Times New Roman" w:hAnsi="Times New Roman" w:cs="Times New Roman"/>
          <w:sz w:val="30"/>
          <w:szCs w:val="30"/>
        </w:rPr>
        <w:t xml:space="preserve"> марта </w:t>
      </w:r>
      <w:r w:rsidRPr="0099628E">
        <w:rPr>
          <w:rFonts w:ascii="Times New Roman" w:hAnsi="Times New Roman" w:cs="Times New Roman"/>
          <w:sz w:val="30"/>
          <w:szCs w:val="30"/>
        </w:rPr>
        <w:t>2026</w:t>
      </w:r>
      <w:r w:rsidR="003558D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 </w:t>
      </w:r>
      <w:r w:rsidR="0057140C">
        <w:rPr>
          <w:rFonts w:ascii="Times New Roman" w:hAnsi="Times New Roman" w:cs="Times New Roman"/>
          <w:sz w:val="30"/>
          <w:szCs w:val="30"/>
        </w:rPr>
        <w:t>г.</w:t>
      </w:r>
      <w:r w:rsidRPr="0099628E">
        <w:rPr>
          <w:rFonts w:ascii="Times New Roman" w:hAnsi="Times New Roman" w:cs="Times New Roman"/>
          <w:sz w:val="30"/>
          <w:szCs w:val="30"/>
        </w:rPr>
        <w:t xml:space="preserve">), за исключением положений, касающихся использования криптовалюты для осуществления расчетов в сфере игорного бизнеса, которые </w:t>
      </w:r>
      <w:r w:rsidR="00EB0FBC" w:rsidRPr="0099628E">
        <w:rPr>
          <w:rFonts w:ascii="Times New Roman" w:hAnsi="Times New Roman" w:cs="Times New Roman"/>
          <w:sz w:val="30"/>
          <w:szCs w:val="30"/>
        </w:rPr>
        <w:t>вступ</w:t>
      </w:r>
      <w:r w:rsidR="00702E9C">
        <w:rPr>
          <w:rFonts w:ascii="Times New Roman" w:hAnsi="Times New Roman" w:cs="Times New Roman"/>
          <w:sz w:val="30"/>
          <w:szCs w:val="30"/>
        </w:rPr>
        <w:t>или</w:t>
      </w:r>
      <w:r w:rsidR="00EB0FBC">
        <w:rPr>
          <w:rFonts w:ascii="Times New Roman" w:hAnsi="Times New Roman" w:cs="Times New Roman"/>
          <w:sz w:val="30"/>
          <w:szCs w:val="30"/>
        </w:rPr>
        <w:t xml:space="preserve"> </w:t>
      </w:r>
      <w:r w:rsidR="00EB0FBC" w:rsidRPr="0099628E">
        <w:rPr>
          <w:rFonts w:ascii="Times New Roman" w:hAnsi="Times New Roman" w:cs="Times New Roman"/>
          <w:sz w:val="30"/>
          <w:szCs w:val="30"/>
        </w:rPr>
        <w:t>в</w:t>
      </w:r>
      <w:r w:rsidRPr="0099628E">
        <w:rPr>
          <w:rFonts w:ascii="Times New Roman" w:hAnsi="Times New Roman" w:cs="Times New Roman"/>
          <w:sz w:val="30"/>
          <w:szCs w:val="30"/>
        </w:rPr>
        <w:t xml:space="preserve"> силу после официального опубликования Указ</w:t>
      </w:r>
      <w:r w:rsidR="00844862">
        <w:rPr>
          <w:rFonts w:ascii="Times New Roman" w:hAnsi="Times New Roman" w:cs="Times New Roman"/>
          <w:sz w:val="30"/>
          <w:szCs w:val="30"/>
        </w:rPr>
        <w:t>а,</w:t>
      </w:r>
      <w:r w:rsidR="00B94273">
        <w:rPr>
          <w:rFonts w:ascii="Times New Roman" w:hAnsi="Times New Roman" w:cs="Times New Roman"/>
          <w:sz w:val="30"/>
          <w:szCs w:val="30"/>
        </w:rPr>
        <w:t xml:space="preserve"> с 11</w:t>
      </w:r>
      <w:r w:rsidR="0057140C">
        <w:rPr>
          <w:rFonts w:ascii="Times New Roman" w:hAnsi="Times New Roman" w:cs="Times New Roman"/>
          <w:sz w:val="30"/>
          <w:szCs w:val="30"/>
        </w:rPr>
        <w:t xml:space="preserve"> июня </w:t>
      </w:r>
      <w:r w:rsidR="00B94273">
        <w:rPr>
          <w:rFonts w:ascii="Times New Roman" w:hAnsi="Times New Roman" w:cs="Times New Roman"/>
          <w:sz w:val="30"/>
          <w:szCs w:val="30"/>
        </w:rPr>
        <w:t>2025</w:t>
      </w:r>
      <w:r w:rsidR="003558DB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 </w:t>
      </w:r>
      <w:r w:rsidR="0057140C">
        <w:rPr>
          <w:rFonts w:ascii="Times New Roman" w:hAnsi="Times New Roman" w:cs="Times New Roman"/>
          <w:sz w:val="30"/>
          <w:szCs w:val="30"/>
        </w:rPr>
        <w:t>г</w:t>
      </w:r>
      <w:r w:rsidR="00B94273">
        <w:rPr>
          <w:rFonts w:ascii="Times New Roman" w:hAnsi="Times New Roman" w:cs="Times New Roman"/>
          <w:sz w:val="30"/>
          <w:szCs w:val="30"/>
        </w:rPr>
        <w:t>.</w:t>
      </w:r>
    </w:p>
    <w:sectPr w:rsidR="00513FC6" w:rsidSect="00810C53">
      <w:headerReference w:type="default" r:id="rId7"/>
      <w:footerReference w:type="first" r:id="rId8"/>
      <w:pgSz w:w="11905" w:h="16838"/>
      <w:pgMar w:top="1134" w:right="706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5A617" w14:textId="77777777" w:rsidR="003F3DA8" w:rsidRDefault="003F3DA8" w:rsidP="0072114C">
      <w:pPr>
        <w:spacing w:after="0" w:line="240" w:lineRule="auto"/>
      </w:pPr>
      <w:r>
        <w:separator/>
      </w:r>
    </w:p>
  </w:endnote>
  <w:endnote w:type="continuationSeparator" w:id="0">
    <w:p w14:paraId="7D873980" w14:textId="77777777" w:rsidR="003F3DA8" w:rsidRDefault="003F3DA8" w:rsidP="0072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6262906"/>
      <w:docPartObj>
        <w:docPartGallery w:val="Page Numbers (Bottom of Page)"/>
        <w:docPartUnique/>
      </w:docPartObj>
    </w:sdtPr>
    <w:sdtEndPr/>
    <w:sdtContent>
      <w:p w14:paraId="019D74F1" w14:textId="47E3586F" w:rsidR="00CD7AC6" w:rsidRDefault="00CD7A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56175" w14:textId="77777777" w:rsidR="003F3DA8" w:rsidRDefault="003F3DA8" w:rsidP="0072114C">
      <w:pPr>
        <w:spacing w:after="0" w:line="240" w:lineRule="auto"/>
      </w:pPr>
      <w:r>
        <w:separator/>
      </w:r>
    </w:p>
  </w:footnote>
  <w:footnote w:type="continuationSeparator" w:id="0">
    <w:p w14:paraId="33762610" w14:textId="77777777" w:rsidR="003F3DA8" w:rsidRDefault="003F3DA8" w:rsidP="0072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939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BC85FB4" w14:textId="60BA20F0" w:rsidR="0072114C" w:rsidRPr="0072114C" w:rsidRDefault="00FC6B0C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2114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72114C" w:rsidRPr="0072114C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72114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744C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2114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10C5628" w14:textId="77777777" w:rsidR="0072114C" w:rsidRDefault="007211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79"/>
    <w:rsid w:val="00044026"/>
    <w:rsid w:val="00062EFC"/>
    <w:rsid w:val="00097EFB"/>
    <w:rsid w:val="000C76EF"/>
    <w:rsid w:val="000E3C06"/>
    <w:rsid w:val="0011254B"/>
    <w:rsid w:val="0013009F"/>
    <w:rsid w:val="001374D3"/>
    <w:rsid w:val="00165F57"/>
    <w:rsid w:val="00167650"/>
    <w:rsid w:val="001A4B72"/>
    <w:rsid w:val="001D5974"/>
    <w:rsid w:val="002026EC"/>
    <w:rsid w:val="0020468A"/>
    <w:rsid w:val="0021202B"/>
    <w:rsid w:val="00216674"/>
    <w:rsid w:val="0024275F"/>
    <w:rsid w:val="002737F6"/>
    <w:rsid w:val="002826B6"/>
    <w:rsid w:val="002D2960"/>
    <w:rsid w:val="002D79AA"/>
    <w:rsid w:val="002F5134"/>
    <w:rsid w:val="003558DB"/>
    <w:rsid w:val="003B7E11"/>
    <w:rsid w:val="003E74B9"/>
    <w:rsid w:val="003F3909"/>
    <w:rsid w:val="003F3DA8"/>
    <w:rsid w:val="003F4651"/>
    <w:rsid w:val="0041253A"/>
    <w:rsid w:val="0041680D"/>
    <w:rsid w:val="00422705"/>
    <w:rsid w:val="00440313"/>
    <w:rsid w:val="00447960"/>
    <w:rsid w:val="004511B1"/>
    <w:rsid w:val="004847B5"/>
    <w:rsid w:val="004B5B06"/>
    <w:rsid w:val="004D0B0D"/>
    <w:rsid w:val="004E04E9"/>
    <w:rsid w:val="004E2A90"/>
    <w:rsid w:val="00513FC6"/>
    <w:rsid w:val="005141A2"/>
    <w:rsid w:val="0057140C"/>
    <w:rsid w:val="005807B8"/>
    <w:rsid w:val="005D4ECF"/>
    <w:rsid w:val="005F02A1"/>
    <w:rsid w:val="005F4992"/>
    <w:rsid w:val="00603F62"/>
    <w:rsid w:val="00634690"/>
    <w:rsid w:val="00641DA6"/>
    <w:rsid w:val="00642041"/>
    <w:rsid w:val="00645DCA"/>
    <w:rsid w:val="0066577E"/>
    <w:rsid w:val="00685C88"/>
    <w:rsid w:val="006A46DB"/>
    <w:rsid w:val="00702E9C"/>
    <w:rsid w:val="0072114C"/>
    <w:rsid w:val="00746498"/>
    <w:rsid w:val="00764631"/>
    <w:rsid w:val="00785846"/>
    <w:rsid w:val="007A73FB"/>
    <w:rsid w:val="007B109B"/>
    <w:rsid w:val="007B253A"/>
    <w:rsid w:val="007F73A2"/>
    <w:rsid w:val="00810C53"/>
    <w:rsid w:val="00844862"/>
    <w:rsid w:val="00874906"/>
    <w:rsid w:val="008A537E"/>
    <w:rsid w:val="008D2374"/>
    <w:rsid w:val="008E37E6"/>
    <w:rsid w:val="00960B34"/>
    <w:rsid w:val="009831F8"/>
    <w:rsid w:val="0099628E"/>
    <w:rsid w:val="009B6FFB"/>
    <w:rsid w:val="009D57FE"/>
    <w:rsid w:val="009F6605"/>
    <w:rsid w:val="00A00AE4"/>
    <w:rsid w:val="00A46D1D"/>
    <w:rsid w:val="00A52C22"/>
    <w:rsid w:val="00A7204B"/>
    <w:rsid w:val="00A744C9"/>
    <w:rsid w:val="00A967DE"/>
    <w:rsid w:val="00AC094C"/>
    <w:rsid w:val="00B3618B"/>
    <w:rsid w:val="00B427AB"/>
    <w:rsid w:val="00B575CA"/>
    <w:rsid w:val="00B827FD"/>
    <w:rsid w:val="00B94273"/>
    <w:rsid w:val="00BC1E8C"/>
    <w:rsid w:val="00C22496"/>
    <w:rsid w:val="00C91403"/>
    <w:rsid w:val="00CB6F1E"/>
    <w:rsid w:val="00CC0779"/>
    <w:rsid w:val="00CD7AC6"/>
    <w:rsid w:val="00CE087C"/>
    <w:rsid w:val="00D156AA"/>
    <w:rsid w:val="00D25E28"/>
    <w:rsid w:val="00D606CD"/>
    <w:rsid w:val="00D64696"/>
    <w:rsid w:val="00D652CD"/>
    <w:rsid w:val="00D70B13"/>
    <w:rsid w:val="00DA6D8A"/>
    <w:rsid w:val="00DD6684"/>
    <w:rsid w:val="00DF58A6"/>
    <w:rsid w:val="00E021F9"/>
    <w:rsid w:val="00E37BFF"/>
    <w:rsid w:val="00E57A3F"/>
    <w:rsid w:val="00E8568E"/>
    <w:rsid w:val="00EB0FBC"/>
    <w:rsid w:val="00EB3C02"/>
    <w:rsid w:val="00EF5DCA"/>
    <w:rsid w:val="00F16692"/>
    <w:rsid w:val="00F26097"/>
    <w:rsid w:val="00F3189B"/>
    <w:rsid w:val="00F56FAB"/>
    <w:rsid w:val="00F57142"/>
    <w:rsid w:val="00F6150B"/>
    <w:rsid w:val="00F727F7"/>
    <w:rsid w:val="00F7604E"/>
    <w:rsid w:val="00FC6B0C"/>
    <w:rsid w:val="00FD6379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9A80"/>
  <w15:docId w15:val="{13B4B7C3-4E81-49F1-9334-42625EDA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4B5B06"/>
    <w:pPr>
      <w:widowControl w:val="0"/>
      <w:autoSpaceDE w:val="0"/>
      <w:autoSpaceDN w:val="0"/>
      <w:adjustRightInd w:val="0"/>
      <w:spacing w:after="0" w:line="34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rsid w:val="004B5B06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25E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14C"/>
  </w:style>
  <w:style w:type="paragraph" w:styleId="a7">
    <w:name w:val="footer"/>
    <w:basedOn w:val="a"/>
    <w:link w:val="a8"/>
    <w:uiPriority w:val="99"/>
    <w:unhideWhenUsed/>
    <w:rsid w:val="0072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000A-93A2-494C-84CB-6FD8A841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m.nevinskaya</dc:creator>
  <cp:lastModifiedBy>Ширибало Алина Николаевна</cp:lastModifiedBy>
  <cp:revision>13</cp:revision>
  <cp:lastPrinted>2025-06-10T13:28:00Z</cp:lastPrinted>
  <dcterms:created xsi:type="dcterms:W3CDTF">2025-06-10T12:44:00Z</dcterms:created>
  <dcterms:modified xsi:type="dcterms:W3CDTF">2025-06-12T11:04:00Z</dcterms:modified>
</cp:coreProperties>
</file>